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32026_110803.xml.htm"/>
      <w:bookmarkStart w:id="1" w:name="ksform408132026_1108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Gill Harpal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FABRINET USA,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3736 FALLON ROAD #428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Fabrinet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9"/>
        <w:gridCol w:w="901"/>
        <w:gridCol w:w="771"/>
        <w:gridCol w:w="598"/>
        <w:gridCol w:w="347"/>
        <w:gridCol w:w="885"/>
        <w:gridCol w:w="452"/>
        <w:gridCol w:w="837"/>
        <w:gridCol w:w="1159"/>
        <w:gridCol w:w="994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20,476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26,832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525.88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19,899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number represents shares acquired upon vesting of performance-based restricted share units ("PSUs") granted on August 22, 2024, as a result of exceeding pre-established performance targets that were certified by the Compensation Committee of the Issuer on August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shares were withheld to cover the Reporting Person's tax liability in connection with the vesting of PSUs.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Chew, Attorney-in-fact for Harpal Gill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4794" TargetMode="External"/><Relationship Id="rId5" Type="http://schemas.openxmlformats.org/officeDocument/2006/relationships/hyperlink" Target="http://www.sec.gov/cgi-bin/browse-edgar?action=getcompany&amp;CIK=00014087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3507</Characters>
  <CharactersWithSpaces>4067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