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32026_110846.xml.htm"/>
      <w:bookmarkStart w:id="1" w:name="ksform408132026_1108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Grady Seamus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FABRINET USA,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3736 FALLON ROAD #428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Fabrinet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9"/>
        <w:gridCol w:w="904"/>
        <w:gridCol w:w="774"/>
        <w:gridCol w:w="600"/>
        <w:gridCol w:w="346"/>
        <w:gridCol w:w="968"/>
        <w:gridCol w:w="446"/>
        <w:gridCol w:w="839"/>
        <w:gridCol w:w="1150"/>
        <w:gridCol w:w="988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33,694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43,602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525.88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32,796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number represents shares acquired upon vesting of performance-based restricted share units ("PSUs") granted on August 22, 2024, as a result of exceeding pre-established performance targets that were certified by the Compensation Committee of the Issuer on August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shares were withheld to cover the Reporting Person's tax liability in connection with the vesting of PSUs.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Chew, Attorney-in-fact for Seamus Grady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7718" TargetMode="External"/><Relationship Id="rId5" Type="http://schemas.openxmlformats.org/officeDocument/2006/relationships/hyperlink" Target="http://www.sec.gov/cgi-bin/browse-edgar?action=getcompany&amp;CIK=00014087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3519</Characters>
  <CharactersWithSpaces>4079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