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FABRINET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9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Cayman Islands</w:t>
            </w:r>
          </w:p>
        </w:tc>
        <w:tc>
          <w:tcPr>
            <w:tcW w:w="522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8"/>
              </w:rPr>
              <w:t>001-34775</w:t>
            </w:r>
          </w:p>
        </w:tc>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98-1228572</w:t>
            </w:r>
          </w:p>
        </w:tc>
        <w:tc>
          <w:tcPr>
            <w:tcW w:w="60" w:type="dxa"/>
            <w:vAlign w:val="bottom"/>
            <w:tcBorders>
              <w:bottom w:val="single" w:sz="8" w:color="auto"/>
            </w:tcBorders>
          </w:tcPr>
          <w:p>
            <w:pPr>
              <w:spacing w:after="0"/>
              <w:rPr>
                <w:sz w:val="24"/>
                <w:szCs w:val="24"/>
                <w:color w:val="auto"/>
              </w:rPr>
            </w:pPr>
          </w:p>
        </w:tc>
      </w:tr>
      <w:tr>
        <w:trPr>
          <w:trHeight w:val="282"/>
        </w:trPr>
        <w:tc>
          <w:tcPr>
            <w:tcW w:w="2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(State of other jurisdiction of</w:t>
            </w:r>
          </w:p>
        </w:tc>
        <w:tc>
          <w:tcPr>
            <w:tcW w:w="522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7"/>
              </w:rPr>
              <w:t>(Commission</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(IRS Employer</w:t>
            </w:r>
          </w:p>
        </w:tc>
      </w:tr>
      <w:tr>
        <w:trPr>
          <w:trHeight w:val="297"/>
        </w:trPr>
        <w:tc>
          <w:tcPr>
            <w:tcW w:w="2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incorporation or organization)</w:t>
            </w:r>
          </w:p>
        </w:tc>
        <w:tc>
          <w:tcPr>
            <w:tcW w:w="5220" w:type="dxa"/>
            <w:vAlign w:val="bottom"/>
          </w:tcPr>
          <w:p>
            <w:pPr>
              <w:jc w:val="center"/>
              <w:ind w:left="152"/>
              <w:spacing w:after="0"/>
              <w:rPr>
                <w:sz w:val="20"/>
                <w:szCs w:val="20"/>
                <w:color w:val="auto"/>
              </w:rPr>
            </w:pPr>
            <w:r>
              <w:rPr>
                <w:rFonts w:ascii="Times New Roman" w:cs="Times New Roman" w:eastAsia="Times New Roman" w:hAnsi="Times New Roman"/>
                <w:sz w:val="22"/>
                <w:szCs w:val="22"/>
                <w:color w:val="auto"/>
                <w:w w:val="97"/>
              </w:rPr>
              <w:t>File Number)</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Identification No.)</w:t>
            </w:r>
          </w:p>
        </w:tc>
      </w:tr>
      <w:tr>
        <w:trPr>
          <w:trHeight w:val="564"/>
        </w:trPr>
        <w:tc>
          <w:tcPr>
            <w:tcW w:w="2860" w:type="dxa"/>
            <w:vAlign w:val="bottom"/>
          </w:tcPr>
          <w:p>
            <w:pPr>
              <w:spacing w:after="0"/>
              <w:rPr>
                <w:sz w:val="24"/>
                <w:szCs w:val="24"/>
                <w:color w:val="auto"/>
              </w:rPr>
            </w:pPr>
          </w:p>
        </w:tc>
        <w:tc>
          <w:tcPr>
            <w:tcW w:w="5220" w:type="dxa"/>
            <w:vAlign w:val="bottom"/>
          </w:tcPr>
          <w:p>
            <w:pPr>
              <w:ind w:left="1820"/>
              <w:spacing w:after="0"/>
              <w:rPr>
                <w:sz w:val="20"/>
                <w:szCs w:val="20"/>
                <w:color w:val="auto"/>
              </w:rPr>
            </w:pPr>
            <w:r>
              <w:rPr>
                <w:rFonts w:ascii="Times New Roman" w:cs="Times New Roman" w:eastAsia="Times New Roman" w:hAnsi="Times New Roman"/>
                <w:sz w:val="22"/>
                <w:szCs w:val="22"/>
                <w:b w:val="1"/>
                <w:bCs w:val="1"/>
                <w:color w:val="auto"/>
              </w:rPr>
              <w:t>c/o Walkers Corporate Ltd.</w:t>
            </w: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2860" w:type="dxa"/>
            <w:vAlign w:val="bottom"/>
          </w:tcPr>
          <w:p>
            <w:pPr>
              <w:spacing w:after="0"/>
              <w:rPr>
                <w:sz w:val="19"/>
                <w:szCs w:val="19"/>
                <w:color w:val="auto"/>
              </w:rPr>
            </w:pPr>
          </w:p>
        </w:tc>
        <w:tc>
          <w:tcPr>
            <w:tcW w:w="5220" w:type="dxa"/>
            <w:vAlign w:val="bottom"/>
          </w:tcPr>
          <w:p>
            <w:pPr>
              <w:jc w:val="center"/>
              <w:ind w:left="212"/>
              <w:spacing w:after="0" w:line="229" w:lineRule="exact"/>
              <w:rPr>
                <w:sz w:val="20"/>
                <w:szCs w:val="20"/>
                <w:color w:val="auto"/>
              </w:rPr>
            </w:pPr>
            <w:r>
              <w:rPr>
                <w:rFonts w:ascii="Times New Roman" w:cs="Times New Roman" w:eastAsia="Times New Roman" w:hAnsi="Times New Roman"/>
                <w:sz w:val="22"/>
                <w:szCs w:val="22"/>
                <w:b w:val="1"/>
                <w:bCs w:val="1"/>
                <w:color w:val="auto"/>
                <w:w w:val="96"/>
              </w:rPr>
              <w:t>190 Elgin Avenue, George Town</w:t>
            </w:r>
          </w:p>
        </w:tc>
        <w:tc>
          <w:tcPr>
            <w:tcW w:w="3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2860" w:type="dxa"/>
            <w:vAlign w:val="bottom"/>
          </w:tcPr>
          <w:p>
            <w:pPr>
              <w:spacing w:after="0"/>
              <w:rPr>
                <w:sz w:val="21"/>
                <w:szCs w:val="21"/>
                <w:color w:val="auto"/>
              </w:rPr>
            </w:pPr>
          </w:p>
        </w:tc>
        <w:tc>
          <w:tcPr>
            <w:tcW w:w="5220" w:type="dxa"/>
            <w:vAlign w:val="bottom"/>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Grand Cayman</w:t>
            </w:r>
          </w:p>
        </w:tc>
        <w:tc>
          <w:tcPr>
            <w:tcW w:w="3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860" w:type="dxa"/>
            <w:vAlign w:val="bottom"/>
          </w:tcPr>
          <w:p>
            <w:pPr>
              <w:spacing w:after="0"/>
              <w:rPr>
                <w:sz w:val="21"/>
                <w:szCs w:val="21"/>
                <w:color w:val="auto"/>
              </w:rPr>
            </w:pPr>
          </w:p>
        </w:tc>
        <w:tc>
          <w:tcPr>
            <w:tcW w:w="5220" w:type="dxa"/>
            <w:vAlign w:val="bottom"/>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KY1-9008</w:t>
            </w:r>
          </w:p>
        </w:tc>
        <w:tc>
          <w:tcPr>
            <w:tcW w:w="3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7"/>
        </w:trPr>
        <w:tc>
          <w:tcPr>
            <w:tcW w:w="2860" w:type="dxa"/>
            <w:vAlign w:val="bottom"/>
          </w:tcPr>
          <w:p>
            <w:pPr>
              <w:spacing w:after="0"/>
              <w:rPr>
                <w:sz w:val="21"/>
                <w:szCs w:val="21"/>
                <w:color w:val="auto"/>
              </w:rPr>
            </w:pPr>
          </w:p>
        </w:tc>
        <w:tc>
          <w:tcPr>
            <w:tcW w:w="5220" w:type="dxa"/>
            <w:vAlign w:val="bottom"/>
          </w:tcPr>
          <w:p>
            <w:pPr>
              <w:jc w:val="center"/>
              <w:ind w:left="212"/>
              <w:spacing w:after="0" w:line="247" w:lineRule="exact"/>
              <w:rPr>
                <w:sz w:val="20"/>
                <w:szCs w:val="20"/>
                <w:color w:val="auto"/>
              </w:rPr>
            </w:pPr>
            <w:r>
              <w:rPr>
                <w:rFonts w:ascii="Times New Roman" w:cs="Times New Roman" w:eastAsia="Times New Roman" w:hAnsi="Times New Roman"/>
                <w:sz w:val="22"/>
                <w:szCs w:val="22"/>
                <w:b w:val="1"/>
                <w:bCs w:val="1"/>
                <w:color w:val="auto"/>
                <w:w w:val="98"/>
              </w:rPr>
              <w:t>Cayman Islands</w:t>
            </w:r>
          </w:p>
        </w:tc>
        <w:tc>
          <w:tcPr>
            <w:tcW w:w="3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2"/>
        </w:trPr>
        <w:tc>
          <w:tcPr>
            <w:tcW w:w="2860" w:type="dxa"/>
            <w:vAlign w:val="bottom"/>
          </w:tcPr>
          <w:p>
            <w:pPr>
              <w:spacing w:after="0"/>
              <w:rPr>
                <w:sz w:val="24"/>
                <w:szCs w:val="24"/>
                <w:color w:val="auto"/>
              </w:rPr>
            </w:pPr>
          </w:p>
        </w:tc>
        <w:tc>
          <w:tcPr>
            <w:tcW w:w="52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7"/>
        </w:trPr>
        <w:tc>
          <w:tcPr>
            <w:tcW w:w="2860" w:type="dxa"/>
            <w:vAlign w:val="bottom"/>
          </w:tcPr>
          <w:p>
            <w:pPr>
              <w:spacing w:after="0"/>
              <w:rPr>
                <w:sz w:val="24"/>
                <w:szCs w:val="24"/>
                <w:color w:val="auto"/>
              </w:rPr>
            </w:pPr>
          </w:p>
        </w:tc>
        <w:tc>
          <w:tcPr>
            <w:tcW w:w="5220" w:type="dxa"/>
            <w:vAlign w:val="bottom"/>
          </w:tcPr>
          <w:p>
            <w:pPr>
              <w:jc w:val="center"/>
              <w:ind w:left="212"/>
              <w:spacing w:after="0"/>
              <w:rPr>
                <w:sz w:val="20"/>
                <w:szCs w:val="20"/>
                <w:color w:val="auto"/>
              </w:rPr>
            </w:pPr>
            <w:r>
              <w:rPr>
                <w:rFonts w:ascii="Times New Roman" w:cs="Times New Roman" w:eastAsia="Times New Roman" w:hAnsi="Times New Roman"/>
                <w:sz w:val="22"/>
                <w:szCs w:val="22"/>
                <w:color w:val="auto"/>
                <w:w w:val="97"/>
              </w:rPr>
              <w:t>Csaba Sverha</w:t>
            </w: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2860" w:type="dxa"/>
            <w:vAlign w:val="bottom"/>
          </w:tcPr>
          <w:p>
            <w:pPr>
              <w:spacing w:after="0"/>
              <w:rPr>
                <w:sz w:val="21"/>
                <w:szCs w:val="21"/>
                <w:color w:val="auto"/>
              </w:rPr>
            </w:pPr>
          </w:p>
        </w:tc>
        <w:tc>
          <w:tcPr>
            <w:tcW w:w="5220" w:type="dxa"/>
            <w:vAlign w:val="bottom"/>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7"/>
              </w:rPr>
              <w:t>Chief Financial Officer</w:t>
            </w:r>
          </w:p>
        </w:tc>
        <w:tc>
          <w:tcPr>
            <w:tcW w:w="3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2"/>
        </w:trPr>
        <w:tc>
          <w:tcPr>
            <w:tcW w:w="2860" w:type="dxa"/>
            <w:vAlign w:val="bottom"/>
          </w:tcPr>
          <w:p>
            <w:pPr>
              <w:spacing w:after="0"/>
              <w:rPr>
                <w:sz w:val="24"/>
                <w:szCs w:val="24"/>
                <w:color w:val="auto"/>
              </w:rPr>
            </w:pPr>
          </w:p>
        </w:tc>
        <w:tc>
          <w:tcPr>
            <w:tcW w:w="5220" w:type="dxa"/>
            <w:vAlign w:val="bottom"/>
          </w:tcPr>
          <w:p>
            <w:pPr>
              <w:jc w:val="right"/>
              <w:ind w:right="1652"/>
              <w:spacing w:after="0"/>
              <w:rPr>
                <w:sz w:val="20"/>
                <w:szCs w:val="20"/>
                <w:color w:val="auto"/>
              </w:rPr>
            </w:pPr>
            <w:r>
              <w:rPr>
                <w:rFonts w:ascii="Times New Roman" w:cs="Times New Roman" w:eastAsia="Times New Roman" w:hAnsi="Times New Roman"/>
                <w:sz w:val="22"/>
                <w:szCs w:val="22"/>
                <w:color w:val="auto"/>
              </w:rPr>
              <w:t>+66 2-524-9600</w:t>
            </w: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8"/>
        </w:trPr>
        <w:tc>
          <w:tcPr>
            <w:tcW w:w="286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2860" w:type="dxa"/>
            <w:vAlign w:val="bottom"/>
          </w:tcPr>
          <w:p>
            <w:pPr>
              <w:spacing w:after="0"/>
              <w:rPr>
                <w:sz w:val="22"/>
                <w:szCs w:val="22"/>
                <w:color w:val="auto"/>
              </w:rPr>
            </w:pPr>
          </w:p>
        </w:tc>
        <w:tc>
          <w:tcPr>
            <w:tcW w:w="522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7"/>
              </w:rPr>
              <w:t>(Name and telephone number, including area code, of the</w:t>
            </w:r>
          </w:p>
        </w:tc>
        <w:tc>
          <w:tcPr>
            <w:tcW w:w="3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2"/>
        </w:trPr>
        <w:tc>
          <w:tcPr>
            <w:tcW w:w="2860" w:type="dxa"/>
            <w:vAlign w:val="bottom"/>
          </w:tcPr>
          <w:p>
            <w:pPr>
              <w:spacing w:after="0"/>
              <w:rPr>
                <w:sz w:val="24"/>
                <w:szCs w:val="24"/>
                <w:color w:val="auto"/>
              </w:rPr>
            </w:pPr>
          </w:p>
        </w:tc>
        <w:tc>
          <w:tcPr>
            <w:tcW w:w="5220" w:type="dxa"/>
            <w:vAlign w:val="bottom"/>
          </w:tcPr>
          <w:p>
            <w:pPr>
              <w:jc w:val="center"/>
              <w:ind w:left="132"/>
              <w:spacing w:after="0"/>
              <w:rPr>
                <w:sz w:val="20"/>
                <w:szCs w:val="20"/>
                <w:color w:val="auto"/>
              </w:rPr>
            </w:pPr>
            <w:r>
              <w:rPr>
                <w:rFonts w:ascii="Times New Roman" w:cs="Times New Roman" w:eastAsia="Times New Roman" w:hAnsi="Times New Roman"/>
                <w:sz w:val="22"/>
                <w:szCs w:val="22"/>
                <w:color w:val="auto"/>
                <w:w w:val="98"/>
              </w:rPr>
              <w:t>person to contact in connection with this report)</w:t>
            </w: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0" w:lineRule="exact"/>
        <w:rPr>
          <w:sz w:val="24"/>
          <w:szCs w:val="24"/>
          <w:color w:val="auto"/>
        </w:rPr>
      </w:pPr>
    </w:p>
    <w:p>
      <w:pPr>
        <w:spacing w:after="0" w:line="341" w:lineRule="exact"/>
        <w:rPr>
          <w:sz w:val="24"/>
          <w:szCs w:val="24"/>
          <w:color w:val="auto"/>
        </w:rPr>
      </w:pPr>
    </w:p>
    <w:p>
      <w:pPr>
        <w:ind w:right="480"/>
        <w:spacing w:after="0" w:line="245"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199" w:lineRule="exact"/>
        <w:rPr>
          <w:sz w:val="24"/>
          <w:szCs w:val="24"/>
          <w:color w:val="auto"/>
        </w:rPr>
      </w:pPr>
    </w:p>
    <w:p>
      <w:pPr>
        <w:ind w:right="240" w:firstLine="8"/>
        <w:spacing w:after="0" w:line="258" w:lineRule="auto"/>
        <w:tabs>
          <w:tab w:leader="none" w:pos="2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ectPr>
          <w:pgSz w:w="11900" w:h="16838" w:orient="portrait"/>
          <w:cols w:equalWidth="0" w:num="1">
            <w:col w:w="11240"/>
          </w:cols>
          <w:pgMar w:left="320" w:top="109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0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Conflict Minerals Disclosure and Report</w:t>
      </w:r>
    </w:p>
    <w:p>
      <w:pPr>
        <w:spacing w:after="0" w:line="125"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 xml:space="preserve">This Specialized Disclosure Report on Form SD and the Conflict Minerals Report, filed as Exhibit 1.01 to this Form SD, are publicly available at </w:t>
      </w:r>
      <w:r>
        <w:rPr>
          <w:rFonts w:ascii="Times New Roman" w:cs="Times New Roman" w:eastAsia="Times New Roman" w:hAnsi="Times New Roman"/>
          <w:sz w:val="20"/>
          <w:szCs w:val="20"/>
          <w:u w:val="single" w:color="auto"/>
          <w:color w:val="auto"/>
        </w:rPr>
        <w:t>investor.fabrinet.com/financial-information/sec-filings</w:t>
      </w:r>
      <w:r>
        <w:rPr>
          <w:rFonts w:ascii="Times New Roman" w:cs="Times New Roman" w:eastAsia="Times New Roman" w:hAnsi="Times New Roman"/>
          <w:sz w:val="20"/>
          <w:szCs w:val="20"/>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websites referenced in this Form SD and the information accessible through them are not incorporated in this Form SD.</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1.02</w:t>
      </w:r>
      <w:r>
        <w:rPr>
          <w:sz w:val="20"/>
          <w:szCs w:val="20"/>
          <w:color w:val="auto"/>
        </w:rPr>
        <w:tab/>
      </w:r>
      <w:r>
        <w:rPr>
          <w:rFonts w:ascii="Times New Roman" w:cs="Times New Roman" w:eastAsia="Times New Roman" w:hAnsi="Times New Roman"/>
          <w:sz w:val="19"/>
          <w:szCs w:val="19"/>
          <w:b w:val="1"/>
          <w:bCs w:val="1"/>
          <w:color w:val="auto"/>
        </w:rPr>
        <w:t>Exhibit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Conflict Minerals Report required by Item 1.01 is filed as Exhibit 1.01 to this Form SD.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2.01</w:t>
            </w:r>
          </w:p>
        </w:tc>
        <w:tc>
          <w:tcPr>
            <w:tcW w:w="1008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Exhibits</w:t>
            </w:r>
          </w:p>
        </w:tc>
      </w:tr>
      <w:tr>
        <w:trPr>
          <w:trHeight w:val="503"/>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Exhibit No.</w:t>
            </w:r>
          </w:p>
        </w:tc>
        <w:tc>
          <w:tcPr>
            <w:tcW w:w="13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456"/>
        </w:trPr>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Fabrinet Conflict Minerals Report for Calendar Year 2025</w:t>
            </w:r>
          </w:p>
        </w:tc>
        <w:tc>
          <w:tcPr>
            <w:tcW w:w="3780" w:type="dxa"/>
            <w:vAlign w:val="bottom"/>
          </w:tcPr>
          <w:p>
            <w:pPr>
              <w:spacing w:after="0"/>
              <w:rPr>
                <w:sz w:val="24"/>
                <w:szCs w:val="24"/>
                <w:color w:val="auto"/>
              </w:rPr>
            </w:pPr>
          </w:p>
        </w:tc>
      </w:tr>
    </w:tbl>
    <w:p>
      <w:pPr>
        <w:sectPr>
          <w:pgSz w:w="11900" w:h="16838" w:orient="portrait"/>
          <w:cols w:equalWidth="0" w:num="1">
            <w:col w:w="11060"/>
          </w:cols>
          <w:pgMar w:left="320" w:top="990" w:right="51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FABRINET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(Registrant)</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8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Csaba Sverha</w:t>
            </w:r>
          </w:p>
        </w:tc>
        <w:tc>
          <w:tcPr>
            <w:tcW w:w="1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May 22, 2026</w:t>
            </w:r>
          </w:p>
        </w:tc>
      </w:tr>
      <w:tr>
        <w:trPr>
          <w:trHeight w:val="244"/>
        </w:trPr>
        <w:tc>
          <w:tcPr>
            <w:tcW w:w="520" w:type="dxa"/>
            <w:vAlign w:val="bottom"/>
          </w:tcPr>
          <w:p>
            <w:pPr>
              <w:spacing w:after="0"/>
              <w:rPr>
                <w:sz w:val="21"/>
                <w:szCs w:val="21"/>
                <w:color w:val="auto"/>
              </w:rPr>
            </w:pPr>
          </w:p>
        </w:tc>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Csaba Sverha</w:t>
            </w:r>
          </w:p>
        </w:tc>
        <w:tc>
          <w:tcPr>
            <w:tcW w:w="2140" w:type="dxa"/>
            <w:vAlign w:val="bottom"/>
          </w:tcPr>
          <w:p>
            <w:pPr>
              <w:spacing w:after="0"/>
              <w:rPr>
                <w:sz w:val="21"/>
                <w:szCs w:val="21"/>
                <w:color w:val="auto"/>
              </w:rPr>
            </w:pPr>
          </w:p>
        </w:tc>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r>
      <w:tr>
        <w:trPr>
          <w:trHeight w:val="258"/>
        </w:trPr>
        <w:tc>
          <w:tcPr>
            <w:tcW w:w="520" w:type="dxa"/>
            <w:vAlign w:val="bottom"/>
          </w:tcPr>
          <w:p>
            <w:pPr>
              <w:spacing w:after="0"/>
              <w:rPr>
                <w:sz w:val="22"/>
                <w:szCs w:val="22"/>
                <w:color w:val="auto"/>
              </w:rPr>
            </w:pPr>
          </w:p>
        </w:tc>
        <w:tc>
          <w:tcPr>
            <w:tcW w:w="79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c>
          <w:tcPr>
            <w:tcW w:w="1900" w:type="dxa"/>
            <w:vAlign w:val="bottom"/>
          </w:tcPr>
          <w:p>
            <w:pPr>
              <w:spacing w:after="0"/>
              <w:rPr>
                <w:sz w:val="22"/>
                <w:szCs w:val="22"/>
                <w:color w:val="auto"/>
              </w:rPr>
            </w:pPr>
          </w:p>
        </w:tc>
      </w:tr>
    </w:tbl>
    <w:p>
      <w:pPr>
        <w:sectPr>
          <w:pgSz w:w="11900" w:h="16838" w:orient="portrait"/>
          <w:cols w:equalWidth="0" w:num="1">
            <w:col w:w="11020"/>
          </w:cols>
          <w:pgMar w:left="320" w:top="1206"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FABRINET</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p>
      <w:pPr>
        <w:spacing w:after="0" w:line="20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20" w:lineRule="exact"/>
        <w:rPr>
          <w:sz w:val="20"/>
          <w:szCs w:val="20"/>
          <w:color w:val="auto"/>
        </w:rPr>
      </w:pPr>
    </w:p>
    <w:p>
      <w:pPr>
        <w:ind w:right="2900"/>
        <w:spacing w:after="0" w:line="253" w:lineRule="auto"/>
        <w:rPr>
          <w:sz w:val="20"/>
          <w:szCs w:val="20"/>
          <w:color w:val="auto"/>
        </w:rPr>
      </w:pPr>
      <w:r>
        <w:rPr>
          <w:rFonts w:ascii="Times New Roman" w:cs="Times New Roman" w:eastAsia="Times New Roman" w:hAnsi="Times New Roman"/>
          <w:sz w:val="20"/>
          <w:szCs w:val="20"/>
          <w:color w:val="auto"/>
        </w:rPr>
        <w:t>We provide advanced optical packaging and precision optical, electro-mechanical and electronic manufacturing services to original equipment manufacturers (“OEMs”) of complex products such as optical communication components, modules and sub-systems, industrial lasers, automotive components, medical devices and sensors. We offer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w:t>
      </w:r>
    </w:p>
    <w:p>
      <w:pPr>
        <w:spacing w:after="0" w:line="193" w:lineRule="exact"/>
        <w:rPr>
          <w:sz w:val="20"/>
          <w:szCs w:val="20"/>
          <w:color w:val="auto"/>
        </w:rPr>
      </w:pPr>
    </w:p>
    <w:p>
      <w:pPr>
        <w:ind w:right="2880"/>
        <w:spacing w:after="0" w:line="264" w:lineRule="auto"/>
        <w:rPr>
          <w:sz w:val="20"/>
          <w:szCs w:val="20"/>
          <w:color w:val="auto"/>
        </w:rPr>
      </w:pPr>
      <w:r>
        <w:rPr>
          <w:rFonts w:ascii="Times New Roman" w:cs="Times New Roman" w:eastAsia="Times New Roman" w:hAnsi="Times New Roman"/>
          <w:sz w:val="19"/>
          <w:szCs w:val="19"/>
          <w:color w:val="auto"/>
        </w:rPr>
        <w:t>Certain products that we manufacture for our customers contain materials or components that use tin, tantalum, tungsten and/or gold (“3TG”). Due to the depth of the supply chain, we are far removed from the sources of ore from which these metals are produced and the smelters/refiners that process those ores. The efforts we undertook to identify the country(ies) of origin of those minerals reflect our circumstances and position in the supply chain. The amount of information available globally on the traceability and sourcing of these ores is limited at this time, and this situation is not unique to us. We have taken steps we believe reasonable under the circumstances to identify the applicable smelters and refiners of 3TG in our supply chain; however, we believe the smelters and refiners of 3TG contained in the products we manufacture for our customers are best situated to identify the sources and countries of origin of 3TG.</w:t>
      </w:r>
    </w:p>
    <w:p>
      <w:pPr>
        <w:spacing w:after="0" w:line="186" w:lineRule="exact"/>
        <w:rPr>
          <w:sz w:val="20"/>
          <w:szCs w:val="20"/>
          <w:color w:val="auto"/>
        </w:rPr>
      </w:pPr>
    </w:p>
    <w:p>
      <w:pPr>
        <w:ind w:right="3040"/>
        <w:spacing w:after="0" w:line="261" w:lineRule="auto"/>
        <w:rPr>
          <w:sz w:val="20"/>
          <w:szCs w:val="20"/>
          <w:color w:val="auto"/>
        </w:rPr>
      </w:pPr>
      <w:r>
        <w:rPr>
          <w:rFonts w:ascii="Times New Roman" w:cs="Times New Roman" w:eastAsia="Times New Roman" w:hAnsi="Times New Roman"/>
          <w:sz w:val="20"/>
          <w:szCs w:val="20"/>
          <w:color w:val="auto"/>
        </w:rPr>
        <w:t>We do not directly manufacture products but “contract to manufacture” branded and generic products containing 3TG on behalf of our customers. Our due diligence efforts were undertaken on the exclusive and/or privately-branded products sourced directly by and manufactured for us in 2025.</w:t>
      </w:r>
    </w:p>
    <w:p>
      <w:pPr>
        <w:spacing w:after="0" w:line="17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Reasonable Country of Origin Inquiry (RCOI)</w:t>
      </w:r>
    </w:p>
    <w:p>
      <w:pPr>
        <w:spacing w:after="0" w:line="220" w:lineRule="exact"/>
        <w:rPr>
          <w:sz w:val="20"/>
          <w:szCs w:val="20"/>
          <w:color w:val="auto"/>
        </w:rPr>
      </w:pPr>
    </w:p>
    <w:p>
      <w:pPr>
        <w:ind w:right="2880"/>
        <w:spacing w:after="0" w:line="251" w:lineRule="auto"/>
        <w:rPr>
          <w:sz w:val="20"/>
          <w:szCs w:val="20"/>
          <w:color w:val="auto"/>
        </w:rPr>
      </w:pPr>
      <w:r>
        <w:rPr>
          <w:rFonts w:ascii="Times New Roman" w:cs="Times New Roman" w:eastAsia="Times New Roman" w:hAnsi="Times New Roman"/>
          <w:sz w:val="20"/>
          <w:szCs w:val="20"/>
          <w:color w:val="auto"/>
        </w:rPr>
        <w:t>Direct suppliers were asked to provide answers to the Responsible Business Alliance (formerly known as the Electronic Industry Citizenship Coalition) (“RBA”) / Global e-Sustainability Initiative (GeSI) Conflict Minerals Common Reporting Template reflecting Fabrinet’s position in the supply chain (the “CMRT”). The CMRT includes questions regarding a direct supplier’s conflict-free policy, its due diligence process, and information about its supply chain such as the names and locations of smelters and refiners and the origin of 3TG used by those facilities. The CMRT is regarded as the most common reporting tool for conflict minerals content and sourcing information worldwide, developed by several of the world’s leading consumer electronics companies.</w:t>
      </w:r>
    </w:p>
    <w:p>
      <w:pPr>
        <w:spacing w:after="0" w:line="195" w:lineRule="exact"/>
        <w:rPr>
          <w:sz w:val="20"/>
          <w:szCs w:val="20"/>
          <w:color w:val="auto"/>
        </w:rPr>
      </w:pPr>
    </w:p>
    <w:p>
      <w:pPr>
        <w:ind w:right="2960"/>
        <w:spacing w:after="0" w:line="253" w:lineRule="auto"/>
        <w:rPr>
          <w:sz w:val="20"/>
          <w:szCs w:val="20"/>
          <w:color w:val="auto"/>
        </w:rPr>
      </w:pPr>
      <w:r>
        <w:rPr>
          <w:rFonts w:ascii="Times New Roman" w:cs="Times New Roman" w:eastAsia="Times New Roman" w:hAnsi="Times New Roman"/>
          <w:sz w:val="20"/>
          <w:szCs w:val="20"/>
          <w:color w:val="auto"/>
        </w:rPr>
        <w:t>Utilizing a third-party service provider to assist with our RCOI, our service provider reviewed the responses received to the questionnaires for completeness and consistency of answers. Suppliers were required to provide corrections and clarifications where needed. Our service provider also performed smelter/refiner validation based on the names of the provided smelter/refiner. Based on the RCOI, we do not have sufficient information from our direct suppliers to determine the sources of the necessary 3TG contained in the products we manufacture for our customers.</w:t>
      </w:r>
    </w:p>
    <w:p>
      <w:pPr>
        <w:spacing w:after="0" w:line="192" w:lineRule="exact"/>
        <w:rPr>
          <w:sz w:val="20"/>
          <w:szCs w:val="20"/>
          <w:color w:val="auto"/>
        </w:rPr>
      </w:pPr>
    </w:p>
    <w:p>
      <w:pPr>
        <w:ind w:right="3380"/>
        <w:spacing w:after="0" w:line="254" w:lineRule="auto"/>
        <w:rPr>
          <w:sz w:val="20"/>
          <w:szCs w:val="20"/>
          <w:color w:val="auto"/>
        </w:rPr>
      </w:pPr>
      <w:r>
        <w:rPr>
          <w:rFonts w:ascii="Times New Roman" w:cs="Times New Roman" w:eastAsia="Times New Roman" w:hAnsi="Times New Roman"/>
          <w:sz w:val="20"/>
          <w:szCs w:val="20"/>
          <w:color w:val="auto"/>
        </w:rPr>
        <w:t>We believe our RCOI process was reasonably designed and performed in good faith, but there are inherent limitations in the information provided to us by third parties, including the possibility of information being inaccurate, incomplete or falsified despite our efforts to validate and confirm the information.</w:t>
      </w:r>
    </w:p>
    <w:p>
      <w:pPr>
        <w:sectPr>
          <w:pgSz w:w="11900" w:h="16838" w:orient="portrait"/>
          <w:cols w:equalWidth="0" w:num="1">
            <w:col w:w="11240"/>
          </w:cols>
          <w:pgMar w:left="320" w:top="356" w:right="339" w:bottom="1440" w:gutter="0" w:footer="0" w:header="0"/>
        </w:sectPr>
      </w:pPr>
    </w:p>
    <w:bookmarkStart w:id="4" w:name="page5"/>
    <w:bookmarkEnd w:id="4"/>
    <w:p>
      <w:pPr>
        <w:spacing w:after="0" w:line="185"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Due Diligence Program</w:t>
      </w:r>
    </w:p>
    <w:p>
      <w:pPr>
        <w:spacing w:after="0" w:line="233" w:lineRule="exact"/>
        <w:rPr>
          <w:sz w:val="20"/>
          <w:szCs w:val="20"/>
          <w:color w:val="auto"/>
        </w:rPr>
      </w:pPr>
    </w:p>
    <w:p>
      <w:pPr>
        <w:ind w:right="3020"/>
        <w:spacing w:after="0" w:line="251" w:lineRule="auto"/>
        <w:rPr>
          <w:sz w:val="20"/>
          <w:szCs w:val="20"/>
          <w:color w:val="auto"/>
        </w:rPr>
      </w:pPr>
      <w:r>
        <w:rPr>
          <w:rFonts w:ascii="Times New Roman" w:cs="Times New Roman" w:eastAsia="Times New Roman" w:hAnsi="Times New Roman"/>
          <w:sz w:val="20"/>
          <w:szCs w:val="20"/>
          <w:color w:val="auto"/>
        </w:rPr>
        <w:t xml:space="preserve">We designed our overall conflict minerals procedures based on, and in conformity with the five-step framework of set forth in the Second Edition of the Organisation for Economic Co-operation and Development’s </w:t>
      </w:r>
      <w:r>
        <w:rPr>
          <w:rFonts w:ascii="Times New Roman" w:cs="Times New Roman" w:eastAsia="Times New Roman" w:hAnsi="Times New Roman"/>
          <w:sz w:val="20"/>
          <w:szCs w:val="20"/>
          <w:i w:val="1"/>
          <w:iCs w:val="1"/>
          <w:color w:val="auto"/>
        </w:rPr>
        <w:t>Due Diligence Guidance for Responsible Supply Chains of Minerals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Conflict-Affected and High-Risk Areas</w:t>
      </w:r>
      <w:r>
        <w:rPr>
          <w:rFonts w:ascii="Times New Roman" w:cs="Times New Roman" w:eastAsia="Times New Roman" w:hAnsi="Times New Roman"/>
          <w:sz w:val="20"/>
          <w:szCs w:val="20"/>
          <w:color w:val="auto"/>
        </w:rPr>
        <w:t>. We implemented appropriate elements of the five-step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framework as were reasonably applied to our circumstances and position in the supply chain as a “downstream” company with little to no direct influence on smelters/refiners. The five-step framework consists of:</w:t>
      </w: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strong company management systems:</w:t>
      </w:r>
    </w:p>
    <w:p>
      <w:pPr>
        <w:spacing w:after="0" w:line="107" w:lineRule="exact"/>
        <w:rPr>
          <w:rFonts w:ascii="Times New Roman" w:cs="Times New Roman" w:eastAsia="Times New Roman" w:hAnsi="Times New Roman"/>
          <w:sz w:val="20"/>
          <w:szCs w:val="20"/>
          <w:color w:val="auto"/>
        </w:rPr>
      </w:pPr>
    </w:p>
    <w:p>
      <w:pPr>
        <w:ind w:left="660" w:right="3120" w:hanging="328"/>
        <w:spacing w:after="0" w:line="261"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adopted and published our Conflict Minerals Sourcing Policy, a copy of which is publicly available on our website at fabrinet.com/services/supply-chain.</w:t>
      </w:r>
    </w:p>
    <w:p>
      <w:pPr>
        <w:spacing w:after="0" w:line="1" w:lineRule="exact"/>
        <w:rPr>
          <w:rFonts w:ascii="Times New Roman" w:cs="Times New Roman" w:eastAsia="Times New Roman" w:hAnsi="Times New Roman"/>
          <w:sz w:val="20"/>
          <w:szCs w:val="20"/>
          <w:color w:val="auto"/>
        </w:rPr>
      </w:pPr>
    </w:p>
    <w:p>
      <w:pPr>
        <w:ind w:left="660" w:right="3100" w:hanging="328"/>
        <w:spacing w:after="0" w:line="246"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created a conflict minerals task force led by our supply chain management organization to implement our Conflict Minerals Sourcing Policy.</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communicated our Conflict Minerals Sourcing Policy to our direct suppliers.</w:t>
      </w:r>
    </w:p>
    <w:p>
      <w:pPr>
        <w:spacing w:after="0" w:line="6" w:lineRule="exact"/>
        <w:rPr>
          <w:rFonts w:ascii="Times New Roman" w:cs="Times New Roman" w:eastAsia="Times New Roman" w:hAnsi="Times New Roman"/>
          <w:sz w:val="20"/>
          <w:szCs w:val="20"/>
          <w:color w:val="auto"/>
        </w:rPr>
      </w:pPr>
    </w:p>
    <w:p>
      <w:pPr>
        <w:ind w:left="660" w:right="2920" w:hanging="328"/>
        <w:spacing w:after="0" w:line="260"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conducted awareness sessions concerning the commitments and requirements expected of our suppliers.</w:t>
      </w:r>
    </w:p>
    <w:p>
      <w:pPr>
        <w:spacing w:after="0" w:line="18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assess risks in the supply chain:</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identified direct suppliers that supply product or material that may contain conflict minerals.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engaged a third-party service provider to perform the RCOI as follows:</w:t>
      </w:r>
    </w:p>
    <w:p>
      <w:pPr>
        <w:spacing w:after="0" w:line="6" w:lineRule="exact"/>
        <w:rPr>
          <w:rFonts w:ascii="Times New Roman" w:cs="Times New Roman" w:eastAsia="Times New Roman" w:hAnsi="Times New Roman"/>
          <w:sz w:val="20"/>
          <w:szCs w:val="20"/>
          <w:color w:val="auto"/>
        </w:rPr>
      </w:pPr>
    </w:p>
    <w:p>
      <w:pPr>
        <w:ind w:left="980" w:hanging="324"/>
        <w:spacing w:after="0" w:line="229" w:lineRule="auto"/>
        <w:tabs>
          <w:tab w:leader="none" w:pos="980" w:val="left"/>
        </w:tabs>
        <w:numPr>
          <w:ilvl w:val="2"/>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conducted supplier surveys using the CMRT</w:t>
      </w:r>
    </w:p>
    <w:p>
      <w:pPr>
        <w:spacing w:after="0" w:line="21" w:lineRule="exact"/>
        <w:rPr>
          <w:rFonts w:ascii="Courier New" w:cs="Courier New" w:eastAsia="Courier New" w:hAnsi="Courier New"/>
          <w:sz w:val="20"/>
          <w:szCs w:val="20"/>
          <w:color w:val="auto"/>
        </w:rPr>
      </w:pPr>
    </w:p>
    <w:p>
      <w:pPr>
        <w:ind w:left="980" w:right="180" w:hanging="324"/>
        <w:spacing w:after="0" w:line="241" w:lineRule="auto"/>
        <w:tabs>
          <w:tab w:leader="none" w:pos="980" w:val="left"/>
        </w:tabs>
        <w:numPr>
          <w:ilvl w:val="2"/>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reviewed responses to the CMRT for completeness and consistency of answers. Suppliers were required to provide corrections and clarifications where needed.</w:t>
      </w:r>
    </w:p>
    <w:p>
      <w:pPr>
        <w:ind w:left="980" w:right="80" w:hanging="324"/>
        <w:spacing w:after="0" w:line="263" w:lineRule="auto"/>
        <w:tabs>
          <w:tab w:leader="none" w:pos="980" w:val="left"/>
        </w:tabs>
        <w:numPr>
          <w:ilvl w:val="2"/>
          <w:numId w:val="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compared smelters and refiners identified by suppliers to the Responsible Minerals Initiative’s (“RMI”) list of validated conflict free facilities for initial risk screening.</w:t>
      </w:r>
    </w:p>
    <w:p>
      <w:pPr>
        <w:spacing w:after="0" w:line="164" w:lineRule="exact"/>
        <w:rPr>
          <w:rFonts w:ascii="Courier New" w:cs="Courier New" w:eastAsia="Courier New" w:hAnsi="Courier New"/>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and implement a strategy to respond to identified risks:</w:t>
      </w:r>
    </w:p>
    <w:p>
      <w:pPr>
        <w:spacing w:after="0" w:line="121" w:lineRule="exact"/>
        <w:rPr>
          <w:rFonts w:ascii="Times New Roman" w:cs="Times New Roman" w:eastAsia="Times New Roman" w:hAnsi="Times New Roman"/>
          <w:sz w:val="20"/>
          <w:szCs w:val="20"/>
          <w:color w:val="auto"/>
        </w:rPr>
      </w:pPr>
    </w:p>
    <w:p>
      <w:pPr>
        <w:ind w:left="660" w:right="40" w:hanging="328"/>
        <w:spacing w:after="0" w:line="254"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reported to senior management on direct suppliers’ responses to our conflict minerals information requests, including updates on monitoring and tracking corrective action and risk mitigation efforts (where applicable).</w:t>
      </w:r>
    </w:p>
    <w:p>
      <w:pPr>
        <w:spacing w:after="0" w:line="1" w:lineRule="exact"/>
        <w:rPr>
          <w:rFonts w:ascii="Times New Roman" w:cs="Times New Roman" w:eastAsia="Times New Roman" w:hAnsi="Times New Roman"/>
          <w:sz w:val="20"/>
          <w:szCs w:val="20"/>
          <w:color w:val="auto"/>
        </w:rPr>
      </w:pPr>
    </w:p>
    <w:p>
      <w:pPr>
        <w:jc w:val="both"/>
        <w:ind w:left="660" w:right="80" w:hanging="328"/>
        <w:spacing w:after="0" w:line="261" w:lineRule="auto"/>
        <w:tabs>
          <w:tab w:leader="none" w:pos="648"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a third-party service, we compared smelters and refiners identified by suppliers to the RMI lists of validated conflict free and verified facilities and the U.S. Department of Commerce “Reporting Requirements Under Section 1502(d)(3)(C) of the Dodd-Frank Act World-Wide Conflict Mineral Processing Facilities” and conducted our own supplemental research on smelters and refiners.</w:t>
      </w:r>
    </w:p>
    <w:p>
      <w:pPr>
        <w:spacing w:after="0" w:line="2"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developed a risk mitigation plan that allows for continued trade with a supplier during the supplier’s risk mitigation efforts.</w:t>
      </w:r>
    </w:p>
    <w:p>
      <w:pPr>
        <w:spacing w:after="0" w:line="200"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Carry out independent third-party audit of supply chain due diligence at identified points in the supply chain:</w:t>
      </w:r>
    </w:p>
    <w:p>
      <w:pPr>
        <w:spacing w:after="0" w:line="121"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perform or direct audits of 3TG smelters or refiners. We rely on audits conducted by third parties through our membership in the RBA, supplier self-disclosures of certification status, and our policy and procurement practices that encourage suppliers to purchase materials from audited smelters and refiners.</w:t>
      </w:r>
    </w:p>
    <w:p>
      <w:pPr>
        <w:sectPr>
          <w:pgSz w:w="11900" w:h="16838" w:orient="portrait"/>
          <w:cols w:equalWidth="0" w:num="1">
            <w:col w:w="11180"/>
          </w:cols>
          <w:pgMar w:left="320" w:top="1440" w:right="399" w:bottom="1440" w:gutter="0" w:footer="0" w:header="0"/>
        </w:sectPr>
      </w:pPr>
    </w:p>
    <w:bookmarkStart w:id="5" w:name="page6"/>
    <w:bookmarkEnd w:id="5"/>
    <w:p>
      <w:pPr>
        <w:spacing w:after="0" w:line="189"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on supply chain due diligence:</w:t>
      </w:r>
    </w:p>
    <w:p>
      <w:pPr>
        <w:spacing w:after="0" w:line="121" w:lineRule="exact"/>
        <w:rPr>
          <w:rFonts w:ascii="Times New Roman" w:cs="Times New Roman" w:eastAsia="Times New Roman" w:hAnsi="Times New Roman"/>
          <w:sz w:val="20"/>
          <w:szCs w:val="20"/>
          <w:color w:val="auto"/>
        </w:rPr>
      </w:pPr>
    </w:p>
    <w:p>
      <w:pPr>
        <w:ind w:left="660" w:right="5340" w:hanging="328"/>
        <w:spacing w:after="0" w:line="255" w:lineRule="auto"/>
        <w:tabs>
          <w:tab w:leader="none" w:pos="64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communicated our Conflict Minerals Report on our website at </w:t>
      </w:r>
      <w:r>
        <w:rPr>
          <w:rFonts w:ascii="Times New Roman" w:cs="Times New Roman" w:eastAsia="Times New Roman" w:hAnsi="Times New Roman"/>
          <w:sz w:val="20"/>
          <w:szCs w:val="20"/>
          <w:u w:val="single" w:color="auto"/>
          <w:color w:val="auto"/>
        </w:rPr>
        <w:t>fabrinet.com/services/supply-chain</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Product Determination</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received inconclusive data from our direct suppliers, and our material source information is still developing. Therefore, we are unable to make a definitive determination about the sources of 3TG in the products we manufacture for our customers. At the same time, we received no information from our direct suppliers indicating that the 3TG in our Covered Products (as defined below) directly or indirectly financed or benefitted armed groups in the Democratic Republic of the Congo and the adjoining countries of Angola, Burundi, the Central African Republic, the Republic of the Congo, Rwanda, South Sudan, Tanzania, Uganda and Zambia. Some suppliers disclosed to us that scrap or recycled sources of 3TG were identified in their supply chains and did not require due diligence.</w:t>
      </w:r>
    </w:p>
    <w:p>
      <w:pPr>
        <w:spacing w:after="0" w:line="1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V.</w:t>
      </w:r>
      <w:r>
        <w:rPr>
          <w:sz w:val="20"/>
          <w:szCs w:val="20"/>
          <w:color w:val="auto"/>
        </w:rPr>
        <w:tab/>
      </w:r>
      <w:r>
        <w:rPr>
          <w:rFonts w:ascii="Times New Roman" w:cs="Times New Roman" w:eastAsia="Times New Roman" w:hAnsi="Times New Roman"/>
          <w:sz w:val="19"/>
          <w:szCs w:val="19"/>
          <w:b w:val="1"/>
          <w:bCs w:val="1"/>
          <w:color w:val="auto"/>
        </w:rPr>
        <w:t>Product Description</w:t>
      </w:r>
    </w:p>
    <w:p>
      <w:pPr>
        <w:spacing w:after="0" w:line="233"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Our customer base includes companies in complex industries that require advanced precision manufacturing capabilities, such as optical communications, industrial lasers and sensors. The products that we manufacture for our OEM customers include: selective switching products; tunable lasers, transponders and transceivers; active optical cables; solid state, diode-pumped, gas and fiber lasers; and sensors (collectively, the “Covered Products”).</w:t>
      </w:r>
    </w:p>
    <w:p>
      <w:pPr>
        <w:spacing w:after="0" w:line="18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color w:val="auto"/>
        </w:rPr>
        <w:t>We identified the following smelters and refiners that have achieved Conflict Free designation by the RMI or an audit program with which RMI has mutual recognition, are actively in the process of obtaining the designations, or for which we independently obtained country of origin information. We were unable to definitively link the identified smelters and refiners to only those products and materials in our supply chain; therefore, the following list likely contains more processing facilities than are actually in our supply chain or Covered Products.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Mineral</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Verified Smelters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8853 S.p.A.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ABC Refinery Pty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Abington Reldan Metals,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Advanced Chemical Company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Agosi AG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Aida Chemical Industries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 Etihad Gold Refinery DMCC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Albino Mountinho Lda.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Alexy Metals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Almalyk Mining and Metallurgical Complex (AMMC)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Argor-Heraeus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Pretec Corp.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Canada Ltd.</w:t>
            </w:r>
          </w:p>
        </w:tc>
      </w:tr>
    </w:tbl>
    <w:p>
      <w:pPr>
        <w:sectPr>
          <w:pgSz w:w="11900" w:h="16838" w:orient="portrait"/>
          <w:cols w:equalWidth="0" w:num="1">
            <w:col w:w="11220"/>
          </w:cols>
          <w:pgMar w:left="320" w:top="1440" w:right="359" w:bottom="1440" w:gutter="0" w:footer="0" w:header="0"/>
        </w:sectPr>
      </w:pPr>
    </w:p>
    <w:bookmarkStart w:id="6" w:name="page7"/>
    <w:bookmarkEnd w:id="6"/>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Asahi Refining USA 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Asaka Riken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Atasay Kuyumculuk Sanayi Ve Ticaret A.S.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Attero Recycling Pvt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 Traders and Refiners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Augmont Enterprises Private Limited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AG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Bangalore Refinery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Bangko Sentral ng Pilipinas (Central Bank of the Philippines)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Boliden Ronnskar</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 Hafner GmbH + Co. KG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Caridad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CCR Refinery - Glencore Canada Corporation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Cendres + Metaux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CGR Metalloys Pvt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Chimet S.p.A.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Chugai Mining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Coimpa Industrial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Daye Non-Ferrous Metals Mining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Degussa Sonne / Mond Goldhandel GmbH</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Dijllah Gold Refinery FZC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Dongwu Gold Group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DSC (Do Sung Corporation)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East Plant</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North Plant</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Eco-System Recycling Co., Ltd. West Plant</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Elite Industech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1)</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2)</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3)</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Emerald Jewel Industry India Limited (Unit 4)</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Emirates Gold DMCC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Fujairah Gold FZC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GG Refinery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GGC Gujrat Gold Centre Pvt.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by Gold Colombia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Gold Refinery of Zijin Mining Group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Great Wall Precious Metals Co., Ltd. of CBPM</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Jinding Gold Limited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Guoda Safina High-Tech Environmental Refinery Co., Ltd.</w:t>
            </w:r>
          </w:p>
        </w:tc>
      </w:tr>
    </w:tbl>
    <w:p>
      <w:pPr>
        <w:sectPr>
          <w:pgSz w:w="11900" w:h="16838" w:orient="portrait"/>
          <w:cols w:equalWidth="0" w:num="1">
            <w:col w:w="10139"/>
          </w:cols>
          <w:pgMar w:left="320" w:top="1440" w:right="1440" w:bottom="1440" w:gutter="0" w:footer="0" w:header="0"/>
        </w:sectPr>
      </w:pPr>
    </w:p>
    <w:bookmarkStart w:id="7" w:name="page8"/>
    <w:bookmarkEnd w:id="7"/>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Hangzhou Fuchunjiang Smelting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Heimerle + Meule GmbH</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Germany GmbH Co. KG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Heraeus Metals Hong Kong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Chenzhou Mining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Guiyang yinxing Nonferrous Smelting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HwaSeong CJ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Impala Platinum - Platinum Metals Refinery (PMR)</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Industrial Refining Company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Inner Mongolia Qiankun Gold and Silver Refinery Share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International Precious Metal Refiners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Ishifuku Metal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Istanbul Gold Refinery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Italpreziosi</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JALAN &amp; Company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Mint</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Copper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JX Nippon Mining &amp;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 Rasmussen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Kaloti Precious Metals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Kazakhmys Smelting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Kazzinc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Kennecott Utah Copper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KGHM Polska Miedz Spolka Akcyjna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Kojima Chemicals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Korea Zinc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Kundan Care Products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Kyrgyzaltyn JSC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L'azurde Company For Jewelry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L'Orfebre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Lingbao Gold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Lingbao Jinyuan Tonghui Refinery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LS MnM 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LT Metal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Luoyang Zijin Yinhui Gold Refinery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Marsam Metals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Matsuda Sangyo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MD Overseas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 Concentrators SA (Pty)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Metallix Refining Inc.</w:t>
            </w:r>
          </w:p>
        </w:tc>
      </w:tr>
    </w:tbl>
    <w:p>
      <w:pPr>
        <w:sectPr>
          <w:pgSz w:w="11900" w:h="16838" w:orient="portrait"/>
          <w:cols w:equalWidth="0" w:num="1">
            <w:col w:w="10139"/>
          </w:cols>
          <w:pgMar w:left="320" w:top="1440" w:right="1440" w:bottom="1440" w:gutter="0" w:footer="0" w:header="0"/>
        </w:sectPr>
      </w:pPr>
    </w:p>
    <w:bookmarkStart w:id="8" w:name="page9"/>
    <w:bookmarkEnd w:id="8"/>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(Hong Kong)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(Singapore) Pte.,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(Suzhou)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Technologies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Metalor USA Refining Corporation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Metalurgica Met-Mex Penoles S.A. De C.V.</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MKS PAMP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MMTC-PAMP India Pvt.,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Morris and Watson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Nadir Metal Rafineri San. Ve Tic. A.S.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Navoi Mining and Metallurgical Combinat</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NH Recytech Company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Nihon Material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NOBLE METAL SERVICES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Ogussa Osterreichische Gold- und Silber-Scheideanstalt GmbH</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Ohura Precious Metal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Pease &amp; Curren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Penglai Penggang Gold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Planta Recuperadora de Metales SpA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Aneka Tambang (Persero) Tbk</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PX Precinox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QG Refining,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Rand Refinery (Pty)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Refinery of Seemine Gold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REMONDIS PMR B.V.</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Royal Canadian Mint</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SAAMP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Sabin Metal Corp.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Safimet S.p.A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SAFINA A.S.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Sai Refinery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 Precious Metals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Samduck Precious Metals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Samwon Metals Corp.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SEMPSA Joyeria Plateria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Gold Smelting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Humon Smelting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Tiancheng Biological Gold Industrial Co., Ltd.</w:t>
            </w:r>
          </w:p>
        </w:tc>
      </w:tr>
    </w:tbl>
    <w:p>
      <w:pPr>
        <w:sectPr>
          <w:pgSz w:w="11900" w:h="16838" w:orient="portrait"/>
          <w:cols w:equalWidth="0" w:num="1">
            <w:col w:w="10139"/>
          </w:cols>
          <w:pgMar w:left="320" w:top="1440" w:right="1440" w:bottom="1440" w:gutter="0" w:footer="0" w:header="0"/>
        </w:sectPr>
      </w:pPr>
    </w:p>
    <w:bookmarkStart w:id="9" w:name="page10"/>
    <w:bookmarkEnd w:id="9"/>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CuiLu Gold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JINJUNWEI RESOURCE COMPREHENSIVE DEVELOPMENT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Shenzhen Zhonghenglong Real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Shirpur Gold Refinery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Sichuan Tianze Precious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Singway Technology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Solar Applied Materials Technology Corp.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Sovereign Metals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State Research Institute Center for Physical Sciences and Technology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Sumitomo Metal Mining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SungEel HiMetal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Dragon Technology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T.C.A S.p.A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Tanaka Kikinzoku Kogyo K.K.</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Tokuriki Honten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Tongling Nonferrous Metals Group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TOO Tau-Ken-Altyn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Torecom</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Precious Metals Thailand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Umicore S.A. Business Unit Precious Metals Refining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United Precious Metal Refining, 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Valcambi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WEEEREFINING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Western Australian Mint (T/a The Perth Mint)</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WIELAND Edelmetalle GmbH</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Yamakin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Yokohama Metal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Copper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Gold</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Zhongyuan Gold Smelter of Zhongjin Gold Corporation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5D Production OU</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AMG Brasil</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 Block Metals,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F&amp;X Electro-Materials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FIR Metals &amp; Resource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Aizu</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Boyertown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Hengyang King Xing Lifeng New Materials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Tuohong New Raw Material</w:t>
            </w:r>
          </w:p>
        </w:tc>
      </w:tr>
    </w:tbl>
    <w:p>
      <w:pPr>
        <w:sectPr>
          <w:pgSz w:w="11900" w:h="16838" w:orient="portrait"/>
          <w:cols w:equalWidth="0" w:num="1">
            <w:col w:w="10139"/>
          </w:cols>
          <w:pgMar w:left="320" w:top="1440" w:right="1440" w:bottom="1440" w:gutter="0" w:footer="0" w:header="0"/>
        </w:sectPr>
      </w:pPr>
    </w:p>
    <w:bookmarkStart w:id="10" w:name="page11"/>
    <w:bookmarkEnd w:id="10"/>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JinXin Nonferrous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Tanbre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KEMET de Mexico</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Materion Newton 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Metallurgical Products India Pvt.,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Mitsui Mining and Smelting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Ningxia Orient Tantalum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NPM Silmet AS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QuantumClean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RFH Yancheng Jinye New Material Technology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Smelter Not Listed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Taki Chemical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GmbH</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Japan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Telex Metals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Ulba Metallurgical Plant JSC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XIMEI RESOURCES (GUANGDONG) LIMITED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XinXing HaoRong Electronic Material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Tantalum</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Yanling Jincheng Tantalum &amp; Niobium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Alpha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Beerse</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Aurubis Berango</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Chenzhou Yunxiang Mining and Metallurgy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Chifeng Dajingzi Tin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Tin Group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CRM Fundicao De Metais E Comercio De Equipamentos Eletronicos Do Brasil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CRM Synergies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Ayi Jaya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CV Venus Inti Perkasa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Dongguan CiEXPO Environmental Engineering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Dowa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Electro-Mechanical Facility of the Cao Bang Minerals &amp; Metallurgy Joint Stock Company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 Vinto</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Estanho de Rondonia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Fabrica Auricchio Industria e Comercio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Fenix Metals</w:t>
            </w:r>
          </w:p>
        </w:tc>
      </w:tr>
    </w:tbl>
    <w:p>
      <w:pPr>
        <w:sectPr>
          <w:pgSz w:w="11900" w:h="16838" w:orient="portrait"/>
          <w:cols w:equalWidth="0" w:num="1">
            <w:col w:w="10139"/>
          </w:cols>
          <w:pgMar w:left="320" w:top="1440" w:right="1440" w:bottom="1440" w:gutter="0" w:footer="0" w:header="0"/>
        </w:sectPr>
      </w:pPr>
    </w:p>
    <w:bookmarkStart w:id="11" w:name="page12"/>
    <w:bookmarkEnd w:id="11"/>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City Fuxiang Industry and Trade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Kai Meng Industry and Trade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Non-Ferrous Metal Processing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Yunxin Nonferrous Electrolysis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Gejiu Zili Mining And Metallurgy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Advanced Metals Greenbushes Pty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Hanhe Non-Ferrous Metal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HuiChang Hill Tin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New Nanshan Technology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Longnan Chuangyue Environmental Protection Technology Development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Ma'anshan Weitai Tin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Magnu's Minerais Metais e Ligas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 Smelting Corporation (MSC)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Malaysia Smelting Corporation Berhad (Port Klang)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Melt Metais e Ligas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Metallic Resources, 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Mineracao Taboca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Minsur</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Mitsubishi Materials Corporation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Modeltech Sdn Bhd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(Thailand)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O.M. Manufacturing Philippines, 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Operaciones Metalurgicas 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Precious Minerals and Smelting Limited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Aries Kencana Sejahtera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ATD Makmur Mandiri Jaya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Babel Surya Alam Lestari</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Prima Tin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Serumpun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Bangka Tin Industry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Belitung Industri Sejahtera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Bukit Timah</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Cipta Persada Mulia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Stania Prima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Mitra Sukses Globalindo</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Panca Mega Persada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Premium Tin Indonesia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Prima Timah Utama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Putera Sarana Shakti (PT PSS)</w:t>
            </w:r>
          </w:p>
        </w:tc>
      </w:tr>
    </w:tbl>
    <w:p>
      <w:pPr>
        <w:sectPr>
          <w:pgSz w:w="11900" w:h="16838" w:orient="portrait"/>
          <w:cols w:equalWidth="0" w:num="1">
            <w:col w:w="10139"/>
          </w:cols>
          <w:pgMar w:left="320" w:top="1440" w:right="1440" w:bottom="1440" w:gutter="0" w:footer="0" w:header="0"/>
        </w:sectPr>
      </w:pPr>
    </w:p>
    <w:bookmarkStart w:id="12" w:name="page13"/>
    <w:bookmarkEnd w:id="12"/>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Rajawali Rimba Perkasa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Rajehan Ariq</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Nusantara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Kundur</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Timah Tbk Mentok</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Tinindo Inter Nusa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Tirus Putra Mandiri</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PT Tommy Utama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Resind Industria e Comercio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RIKAYAA GREENTECH PRIVATE LIMITED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Rui Da Hung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Super Ligas</w:t>
            </w:r>
          </w:p>
        </w:tc>
      </w:tr>
      <w:tr>
        <w:trPr>
          <w:trHeight w:val="187"/>
        </w:trPr>
        <w:tc>
          <w:tcPr>
            <w:tcW w:w="232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Takehara PVD Materials Plant / PVD Materials Division of MITSUI MINING &amp; SMELTING</w:t>
            </w:r>
          </w:p>
        </w:tc>
      </w:tr>
      <w:tr>
        <w:trPr>
          <w:trHeight w:val="252"/>
        </w:trPr>
        <w:tc>
          <w:tcPr>
            <w:tcW w:w="2320" w:type="dxa"/>
            <w:vAlign w:val="bottom"/>
            <w:tcBorders>
              <w:left w:val="single" w:sz="8" w:color="auto"/>
              <w:bottom w:val="single" w:sz="8" w:color="auto"/>
              <w:right w:val="single" w:sz="8" w:color="auto"/>
            </w:tcBorders>
          </w:tcPr>
          <w:p>
            <w:pPr>
              <w:spacing w:after="0"/>
              <w:rPr>
                <w:sz w:val="21"/>
                <w:szCs w:val="21"/>
                <w:color w:val="auto"/>
              </w:rPr>
            </w:pP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Thaisarco</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Smelting Branch of Yunnan Tin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Tin Technology &amp; Refining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VQB Mineral and Trading Group JSC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White Solder Metalurgia e Mineracao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Tin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Yunnan Yunfan Non-ferrous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A.L.M.T. Corp.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ACL Metais Eireli</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Albasteel Industria e Comercio de Ligas Para Fundicao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Asia Tungsten Products Vietnam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China Molybdenum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Chongyi Zhangyuan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CNMC (Guangxi) PGMA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Cronimet Brasil Ltda</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DONGKUK INDUSTRIES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Fujian Xinlu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Jiangwu Ferrotungsten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Ganzhou Seadragon W &amp; Mo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Global Tungsten &amp; Powders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Guangdong Xianglu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H.C. Starck Tungsten GmbH</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HANNAE FOR T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Hubei Green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Chenzhou Mining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Jintai New Material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Hunan Shizhuyuan Nonferrous Metals Co., Ltd. Chenzhou Tungsten Products Branch</w:t>
            </w:r>
          </w:p>
        </w:tc>
      </w:tr>
    </w:tbl>
    <w:p>
      <w:pPr>
        <w:sectPr>
          <w:pgSz w:w="11900" w:h="16838" w:orient="portrait"/>
          <w:cols w:equalWidth="0" w:num="1">
            <w:col w:w="10139"/>
          </w:cols>
          <w:pgMar w:left="320" w:top="1440" w:right="1440" w:bottom="1440" w:gutter="0" w:footer="0" w:header="0"/>
        </w:sectPr>
      </w:pPr>
    </w:p>
    <w:bookmarkStart w:id="13" w:name="page14"/>
    <w:bookmarkEnd w:id="13"/>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3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Japan New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Gan Bei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Minmetals Gao'an Non-ferrous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Tonggu Non-ferrous Metallurgical &amp; Chemical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Jiangxi Yaosheng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Kenee Mining Corporation Vietnam</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Fallon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Kennametal Huntsville</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Metals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Lianyou Resources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MALAMET SMELTING SDN. BHD.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Malipo Haiyu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Masan High-Tech Materials</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Nam Viet Cromit Joint Stock Company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Niagara Refining LLC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Bonway Manufacturing Industrial Corporation</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Carreytech Metal Corp.</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Philippine Chuangxin Industrial Co., Inc.</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Shinwon Tungsten (Fujian Shanghang)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TANIOBIS Smelting GmbH &amp; Co. KG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Tungsten Vietnam Joint Stock Company</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Wolfram Bergbau und Hutten AG</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(H.C.)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Xiamen Tungsten Co., Ltd.</w:t>
            </w:r>
          </w:p>
        </w:tc>
      </w:tr>
      <w:tr>
        <w:trPr>
          <w:trHeight w:val="250"/>
        </w:trPr>
        <w:tc>
          <w:tcPr>
            <w:tcW w:w="2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343A40"/>
              </w:rPr>
              <w:t>Tungsten</w:t>
            </w:r>
          </w:p>
        </w:tc>
        <w:tc>
          <w:tcPr>
            <w:tcW w:w="7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YUDU ANSHENG TUNGSTEN CO., LTD.</w:t>
            </w:r>
          </w:p>
        </w:tc>
      </w:tr>
    </w:tbl>
    <w:p>
      <w:pPr>
        <w:spacing w:after="0" w:line="28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19"/>
          <w:szCs w:val="19"/>
          <w:b w:val="1"/>
          <w:bCs w:val="1"/>
          <w:color w:val="auto"/>
        </w:rPr>
        <w:t>Countries of Origin Identified</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Andorra, Australia, Austria, Belgium, Bolivia, Brazil, Canada, China, Colombia, Estonia, France, Germany, India, Indonesia, Italy, Japan, Kazakhstan, Korea (Republic of), Kyrgyzstan, Lithuania, Malaysia, Mexico, Netherlands, Norway, Peru, Philippines, Poland, Portugal, Saudi Arabia, Singapore, South Africa, Spain, Sweden, Switzerland, Taiwan, Thailand, Turkey, United Arab Emirates, United States, Uzbekistan, Vietnam. Covered Countries were identified only for RMI audited facilities.</w:t>
      </w:r>
    </w:p>
    <w:p>
      <w:pPr>
        <w:spacing w:after="0" w:line="18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19"/>
          <w:szCs w:val="19"/>
          <w:b w:val="1"/>
          <w:bCs w:val="1"/>
          <w:color w:val="auto"/>
        </w:rPr>
        <w:t>Steps to Improve Due Diligence</w: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will continue to communicate our expectations and information requirements to our direct suppliers. We will also continue to monitor changes in circumstances that may impact the facts or our determination. Over time, we anticipate that the amount of information globally on the traceability and sourcing of these minerals will increase and improve our knowledge. We will continue to make inquiries to our direct suppliers and undertake additional fact and risk assessments where potentially relevant</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changes in facts or circumstances are identified. New products will be reviewed for conflict minerals conformance during initial qualification. If we become aware of a supplier whose due diligence needs improvement, we intend to continue the trade relationship while that supplier improves its performance. We expect our suppliers to take similar measures with their suppliers to ensure alignment throughout the supply chain.</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19"/>
          <w:szCs w:val="19"/>
          <w:b w:val="1"/>
          <w:bCs w:val="1"/>
          <w:color w:val="auto"/>
        </w:rPr>
        <w:t>Independent Private Sector Audit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required for calendar year 2025.</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9"/>
    </w:lvl>
  </w:abstractNum>
  <w:abstractNum w:abstractNumId="2">
    <w:nsid w:val="238E1F29"/>
    <w:multiLevelType w:val="hybridMultilevel"/>
    <w:lvl w:ilvl="0">
      <w:lvlJc w:val="left"/>
      <w:lvlText w:val="%1."/>
      <w:numFmt w:val="upperLetter"/>
      <w:start w:val="35"/>
    </w:lvl>
  </w:abstractNum>
  <w:abstractNum w:abstractNumId="3">
    <w:nsid w:val="46E87CCD"/>
    <w:multiLevelType w:val="hybridMultilevel"/>
    <w:lvl w:ilvl="0">
      <w:lvlJc w:val="left"/>
      <w:lvlText w:val="%1."/>
      <w:numFmt w:val="upperLetter"/>
      <w:start w:val="61"/>
    </w:lvl>
  </w:abstractNum>
  <w:abstractNum w:abstractNumId="4">
    <w:nsid w:val="3D1B58B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5">
    <w:nsid w:val="507ED7AB"/>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2026-05-22T06:08:56Z</dcterms:created>
  <dcterms:modified xsi:type="dcterms:W3CDTF">2026-05-22T06:08:56Z</dcterms:modified>
</cp:coreProperties>
</file>